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982EDB" w14:paraId="216857D0" w14:textId="77777777" w:rsidTr="007A760B">
        <w:trPr>
          <w:trHeight w:val="12307"/>
        </w:trPr>
        <w:tc>
          <w:tcPr>
            <w:tcW w:w="9404" w:type="dxa"/>
          </w:tcPr>
          <w:p w14:paraId="47AAB12B" w14:textId="0CE570CE" w:rsidR="00982EDB" w:rsidRPr="001B07AC" w:rsidRDefault="00982EDB" w:rsidP="001B07AC">
            <w:pPr>
              <w:jc w:val="center"/>
              <w:rPr>
                <w:noProof/>
                <w:lang w:eastAsia="en-US"/>
              </w:rPr>
            </w:pPr>
          </w:p>
          <w:p w14:paraId="208B2A40" w14:textId="100F01A5" w:rsidR="00EB758C" w:rsidRPr="00EB758C" w:rsidRDefault="00A62831" w:rsidP="00EB758C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D2885F" wp14:editId="11BEDD4E">
                  <wp:simplePos x="0" y="0"/>
                  <wp:positionH relativeFrom="column">
                    <wp:posOffset>2047240</wp:posOffset>
                  </wp:positionH>
                  <wp:positionV relativeFrom="paragraph">
                    <wp:posOffset>252095</wp:posOffset>
                  </wp:positionV>
                  <wp:extent cx="3809365" cy="2000250"/>
                  <wp:effectExtent l="0" t="0" r="635" b="0"/>
                  <wp:wrapThrough wrapText="bothSides">
                    <wp:wrapPolygon edited="0">
                      <wp:start x="0" y="0"/>
                      <wp:lineTo x="0" y="21394"/>
                      <wp:lineTo x="21496" y="21394"/>
                      <wp:lineTo x="21496" y="0"/>
                      <wp:lineTo x="0" y="0"/>
                    </wp:wrapPolygon>
                  </wp:wrapThrough>
                  <wp:docPr id="946457980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36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B9C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>L</w:t>
            </w:r>
            <w:r w:rsidR="00C2576F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>OOKY</w:t>
            </w:r>
            <w:r w:rsidR="00056B9C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 xml:space="preserve"> </w:t>
            </w:r>
            <w:r w:rsidR="00846959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>ROUND</w:t>
            </w:r>
            <w:r w:rsidR="00FF6867">
              <w:t xml:space="preserve"> </w:t>
            </w:r>
            <w:r w:rsidR="00502BC0">
              <w:t xml:space="preserve"> </w:t>
            </w:r>
            <w:r>
              <w:t xml:space="preserve"> </w:t>
            </w:r>
          </w:p>
          <w:p w14:paraId="575A9DBA" w14:textId="0A8DD2B3" w:rsidR="00A62831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>Letar du efter ett handhållet förstoringsglas som förbättrar din syn utan att kompromissa med stil eller komfort? Leta inte längre än till L</w:t>
            </w:r>
            <w:r w:rsidR="007A760B">
              <w:rPr>
                <w:rFonts w:asciiTheme="minorHAnsi" w:hAnsiTheme="minorHAnsi" w:cstheme="minorHAnsi"/>
                <w:sz w:val="22"/>
                <w:szCs w:val="22"/>
              </w:rPr>
              <w:t>OOKY ROUND</w:t>
            </w: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 xml:space="preserve">, det senaste genombrottet inom förstoringsteknik. Denna innovativa produkt erbjuder förstoring från 1x till 8x, vilket gör den perfekt för ett brett spektrum av applikationer, </w:t>
            </w:r>
          </w:p>
          <w:p w14:paraId="6D7268C4" w14:textId="4A526E34" w:rsidR="00AB30CE" w:rsidRPr="00AB30CE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>från läsning till precisionsarbete.</w:t>
            </w:r>
          </w:p>
          <w:p w14:paraId="592A17D2" w14:textId="77D2D85C" w:rsidR="00AB30CE" w:rsidRPr="00AB30CE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E0AD6E" w14:textId="320FC51E" w:rsidR="00AB30CE" w:rsidRPr="00AB30CE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 xml:space="preserve">Med en elegant och modern design är </w:t>
            </w:r>
            <w:r w:rsidR="007A760B">
              <w:rPr>
                <w:rFonts w:asciiTheme="minorHAnsi" w:hAnsiTheme="minorHAnsi" w:cstheme="minorHAnsi"/>
                <w:sz w:val="22"/>
                <w:szCs w:val="22"/>
              </w:rPr>
              <w:t>LOOKY ROUND</w:t>
            </w: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 xml:space="preserve"> inte bara mycket funktionell utan också ett snyggt tillskott till din verktygslåda. Dess lätta konstruktion säkerställer att du kan använda den</w:t>
            </w:r>
          </w:p>
          <w:p w14:paraId="4C6A1C24" w14:textId="77777777" w:rsidR="00AB30CE" w:rsidRPr="00AB30CE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>bekvämt under längre perioder utan att bli trött. Dessutom ersätter den traditionella förstoringsglas och ger dig förbättrad skärpa, precision och fler förstoringsalternativ.</w:t>
            </w:r>
          </w:p>
          <w:p w14:paraId="6336A60E" w14:textId="106A98BE" w:rsidR="00AB30CE" w:rsidRPr="00AB30CE" w:rsidRDefault="007A760B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LOOKY ROUND</w:t>
            </w:r>
            <w:r w:rsidR="00AB30CE" w:rsidRPr="00AB30CE">
              <w:rPr>
                <w:rFonts w:asciiTheme="minorHAnsi" w:hAnsiTheme="minorHAnsi" w:cstheme="minorHAnsi"/>
                <w:sz w:val="22"/>
                <w:szCs w:val="22"/>
              </w:rPr>
              <w:t xml:space="preserve"> har en praktisk </w:t>
            </w:r>
            <w:proofErr w:type="spellStart"/>
            <w:r w:rsidR="00AB30CE" w:rsidRPr="00AB30CE">
              <w:rPr>
                <w:rFonts w:asciiTheme="minorHAnsi" w:hAnsiTheme="minorHAnsi" w:cstheme="minorHAnsi"/>
                <w:sz w:val="22"/>
                <w:szCs w:val="22"/>
              </w:rPr>
              <w:t>rörform</w:t>
            </w:r>
            <w:proofErr w:type="spellEnd"/>
            <w:r w:rsidR="00AB30CE" w:rsidRPr="00AB30CE">
              <w:rPr>
                <w:rFonts w:asciiTheme="minorHAnsi" w:hAnsiTheme="minorHAnsi" w:cstheme="minorHAnsi"/>
                <w:sz w:val="22"/>
                <w:szCs w:val="22"/>
              </w:rPr>
              <w:t xml:space="preserve"> som passar bekvämt i handen. Med en fast fokuspunkt får du alltid en skarp bild utan behov av manuella justeringar. Detta diskreta, lätta förstoringsglas är lätt att bära och perfekt för användning på språng.</w:t>
            </w:r>
          </w:p>
          <w:p w14:paraId="428D4B1E" w14:textId="77777777" w:rsidR="00AB30CE" w:rsidRPr="00AB30CE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87842E" w14:textId="6C083748" w:rsidR="00AB30CE" w:rsidRPr="00A62831" w:rsidRDefault="00AB30CE" w:rsidP="00AB30CE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28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Varför välja </w:t>
            </w:r>
            <w:r w:rsidR="007A76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LOOKY ROUND</w:t>
            </w:r>
            <w:r w:rsidRPr="00A628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01897689" w14:textId="27B59729" w:rsidR="007A760B" w:rsidRDefault="007A760B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00538F">
              <w:rPr>
                <w:rFonts w:asciiTheme="minorHAnsi" w:hAnsiTheme="minorHAnsi" w:cstheme="minorHAnsi"/>
                <w:sz w:val="22"/>
                <w:szCs w:val="22"/>
              </w:rPr>
              <w:t>OOKY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ROUNDs</w:t>
            </w:r>
            <w:proofErr w:type="spellEnd"/>
            <w:proofErr w:type="gramEnd"/>
            <w:r w:rsidR="00AB30CE" w:rsidRPr="00AB30CE">
              <w:rPr>
                <w:rFonts w:asciiTheme="minorHAnsi" w:hAnsiTheme="minorHAnsi" w:cstheme="minorHAnsi"/>
                <w:sz w:val="22"/>
                <w:szCs w:val="22"/>
              </w:rPr>
              <w:t xml:space="preserve"> cylindriska design ligger bekvämt i handen. Den har perfekt fokus varje gång. </w:t>
            </w:r>
          </w:p>
          <w:p w14:paraId="06E6C117" w14:textId="690F0D98" w:rsidR="00AB30CE" w:rsidRPr="00AB30CE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>Tack vare den fasta fokuspunkten blir bilden skarp, utan manuella justeringar.</w:t>
            </w:r>
          </w:p>
          <w:p w14:paraId="5D8A43CE" w14:textId="77777777" w:rsidR="00AB30CE" w:rsidRPr="00AB30CE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>Enheten är lätt och enkel att bära, perfekt för användning på språng. Utformad för långvarig användning utan obehag.</w:t>
            </w:r>
          </w:p>
          <w:p w14:paraId="1C58155F" w14:textId="73DEBA86" w:rsidR="00AB30CE" w:rsidRPr="00AB30CE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 xml:space="preserve">Med ett internt uppladdningsbart batteri via USB-C håller den i upp till </w:t>
            </w:r>
            <w:r w:rsidR="00DE294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 xml:space="preserve"> timmar. Tack vare kontrastlägena säkerställs optimal visning i alla miljöer.</w:t>
            </w:r>
          </w:p>
          <w:p w14:paraId="7A38A7B0" w14:textId="77777777" w:rsidR="00AB30CE" w:rsidRPr="00AB30CE" w:rsidRDefault="00AB30CE" w:rsidP="00AB30CE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860465" w14:textId="77777777" w:rsidR="00AB30CE" w:rsidRPr="00A62831" w:rsidRDefault="00AB30CE" w:rsidP="00AB30CE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28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Huvudspecifikationer</w:t>
            </w:r>
          </w:p>
          <w:p w14:paraId="72DB1C16" w14:textId="77777777" w:rsidR="00133B81" w:rsidRDefault="00AB30CE" w:rsidP="00AB30CE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B30CE">
              <w:rPr>
                <w:rFonts w:asciiTheme="minorHAnsi" w:hAnsiTheme="minorHAnsi" w:cstheme="minorHAnsi"/>
                <w:sz w:val="22"/>
                <w:szCs w:val="22"/>
              </w:rPr>
              <w:t>2,1 tums hög ljusstark TFT-skärm</w:t>
            </w:r>
          </w:p>
          <w:p w14:paraId="5AB8E0B4" w14:textId="77777777" w:rsidR="00133B81" w:rsidRDefault="00AB30CE" w:rsidP="00AB30CE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3B81">
              <w:rPr>
                <w:rFonts w:asciiTheme="minorHAnsi" w:hAnsiTheme="minorHAnsi" w:cstheme="minorHAnsi"/>
                <w:sz w:val="22"/>
                <w:szCs w:val="22"/>
              </w:rPr>
              <w:t>2 fotolägen, inverterat och 2 högkontrastlägen</w:t>
            </w:r>
          </w:p>
          <w:p w14:paraId="179655AE" w14:textId="77777777" w:rsidR="00133B81" w:rsidRDefault="00AB30CE" w:rsidP="00AB30CE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3B81">
              <w:rPr>
                <w:rFonts w:asciiTheme="minorHAnsi" w:hAnsiTheme="minorHAnsi" w:cstheme="minorHAnsi"/>
                <w:sz w:val="22"/>
                <w:szCs w:val="22"/>
              </w:rPr>
              <w:t>Förstoringsgrad 1x, 2x, 4x, 6x, 8x</w:t>
            </w:r>
          </w:p>
          <w:p w14:paraId="36EE8FDB" w14:textId="77777777" w:rsidR="00133B81" w:rsidRDefault="00AB30CE" w:rsidP="00AB30CE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3B81">
              <w:rPr>
                <w:rFonts w:asciiTheme="minorHAnsi" w:hAnsiTheme="minorHAnsi" w:cstheme="minorHAnsi"/>
                <w:sz w:val="22"/>
                <w:szCs w:val="22"/>
              </w:rPr>
              <w:t>Fokusdjup på 5 cm</w:t>
            </w:r>
          </w:p>
          <w:p w14:paraId="3F78E6C9" w14:textId="77777777" w:rsidR="00133B81" w:rsidRDefault="00AB30CE" w:rsidP="00AB30CE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3B81">
              <w:rPr>
                <w:rFonts w:asciiTheme="minorHAnsi" w:hAnsiTheme="minorHAnsi" w:cstheme="minorHAnsi"/>
                <w:sz w:val="22"/>
                <w:szCs w:val="22"/>
              </w:rPr>
              <w:t>Frysbildsfunktion</w:t>
            </w:r>
          </w:p>
          <w:p w14:paraId="53A3C3C3" w14:textId="77777777" w:rsidR="00133B81" w:rsidRDefault="00AB30CE" w:rsidP="00AB30CE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3B81">
              <w:rPr>
                <w:rFonts w:asciiTheme="minorHAnsi" w:hAnsiTheme="minorHAnsi" w:cstheme="minorHAnsi"/>
                <w:sz w:val="22"/>
                <w:szCs w:val="22"/>
              </w:rPr>
              <w:t>Lämplig för vänster- och högerhänta</w:t>
            </w:r>
          </w:p>
          <w:p w14:paraId="502CE8F3" w14:textId="0F6B31B2" w:rsidR="00133B81" w:rsidRDefault="00AB30CE" w:rsidP="00133B81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3B81">
              <w:rPr>
                <w:rFonts w:asciiTheme="minorHAnsi" w:hAnsiTheme="minorHAnsi" w:cstheme="minorHAnsi"/>
                <w:sz w:val="22"/>
                <w:szCs w:val="22"/>
              </w:rPr>
              <w:t xml:space="preserve">Upp till </w:t>
            </w:r>
            <w:r w:rsidR="00DE294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33B81">
              <w:rPr>
                <w:rFonts w:asciiTheme="minorHAnsi" w:hAnsiTheme="minorHAnsi" w:cstheme="minorHAnsi"/>
                <w:sz w:val="22"/>
                <w:szCs w:val="22"/>
              </w:rPr>
              <w:t xml:space="preserve"> timmars användningstid</w:t>
            </w:r>
          </w:p>
          <w:tbl>
            <w:tblPr>
              <w:tblStyle w:val="Tabellrutnt"/>
              <w:tblpPr w:leftFromText="141" w:rightFromText="141" w:vertAnchor="text" w:horzAnchor="margin" w:tblpY="418"/>
              <w:tblW w:w="9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1"/>
              <w:gridCol w:w="6694"/>
              <w:gridCol w:w="1180"/>
            </w:tblGrid>
            <w:tr w:rsidR="007A760B" w14:paraId="5C4AB2BC" w14:textId="77777777" w:rsidTr="007A760B">
              <w:trPr>
                <w:trHeight w:val="360"/>
              </w:trPr>
              <w:tc>
                <w:tcPr>
                  <w:tcW w:w="1411" w:type="dxa"/>
                  <w:shd w:val="clear" w:color="auto" w:fill="00843B"/>
                </w:tcPr>
                <w:p w14:paraId="33E5D3C5" w14:textId="77777777" w:rsidR="007A760B" w:rsidRPr="000035CC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proofErr w:type="spellStart"/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A</w:t>
                  </w: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rtnr</w:t>
                  </w:r>
                  <w:proofErr w:type="spellEnd"/>
                </w:p>
              </w:tc>
              <w:tc>
                <w:tcPr>
                  <w:tcW w:w="6694" w:type="dxa"/>
                  <w:shd w:val="clear" w:color="auto" w:fill="00843B"/>
                </w:tcPr>
                <w:p w14:paraId="12F9E97C" w14:textId="77777777" w:rsidR="007A760B" w:rsidRPr="000035CC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B</w:t>
                  </w: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enämning</w:t>
                  </w:r>
                </w:p>
              </w:tc>
              <w:tc>
                <w:tcPr>
                  <w:tcW w:w="1180" w:type="dxa"/>
                  <w:shd w:val="clear" w:color="auto" w:fill="00843B"/>
                </w:tcPr>
                <w:p w14:paraId="187F0760" w14:textId="77777777" w:rsidR="007A760B" w:rsidRPr="000035CC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P</w:t>
                  </w: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ris:</w:t>
                  </w:r>
                </w:p>
              </w:tc>
            </w:tr>
            <w:tr w:rsidR="007A760B" w14:paraId="4A306CC8" w14:textId="77777777" w:rsidTr="007A760B">
              <w:trPr>
                <w:trHeight w:val="435"/>
              </w:trPr>
              <w:tc>
                <w:tcPr>
                  <w:tcW w:w="1411" w:type="dxa"/>
                </w:tcPr>
                <w:p w14:paraId="38B7AD5D" w14:textId="77777777" w:rsidR="007A760B" w:rsidRPr="00E62AD7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  <w:lang w:eastAsia="en-US"/>
                    </w:rPr>
                  </w:pPr>
                  <w:proofErr w:type="gramStart"/>
                  <w:r>
                    <w:t>1-4530</w:t>
                  </w:r>
                  <w:proofErr w:type="gramEnd"/>
                </w:p>
              </w:tc>
              <w:tc>
                <w:tcPr>
                  <w:tcW w:w="6694" w:type="dxa"/>
                </w:tcPr>
                <w:p w14:paraId="7982A52B" w14:textId="77777777" w:rsidR="007A760B" w:rsidRPr="00E62AD7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  <w:lang w:eastAsia="en-US"/>
                    </w:rPr>
                  </w:pPr>
                  <w:r w:rsidRPr="006513D7">
                    <w:t xml:space="preserve">LOOKY </w:t>
                  </w:r>
                  <w:r>
                    <w:t>ROUND 2.1</w:t>
                  </w:r>
                </w:p>
              </w:tc>
              <w:tc>
                <w:tcPr>
                  <w:tcW w:w="1180" w:type="dxa"/>
                </w:tcPr>
                <w:p w14:paraId="24076167" w14:textId="77777777" w:rsidR="007A760B" w:rsidRPr="00BA24C1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  <w:lang w:eastAsia="en-US"/>
                    </w:rPr>
                  </w:pPr>
                  <w:r>
                    <w:rPr>
                      <w:rStyle w:val="Hyperlnk"/>
                      <w:color w:val="000000" w:themeColor="text1"/>
                      <w:u w:val="none"/>
                    </w:rPr>
                    <w:t xml:space="preserve">2 </w:t>
                  </w:r>
                  <w:proofErr w:type="gramStart"/>
                  <w:r>
                    <w:rPr>
                      <w:rStyle w:val="Hyperlnk"/>
                      <w:color w:val="000000" w:themeColor="text1"/>
                      <w:u w:val="none"/>
                    </w:rPr>
                    <w:t>5</w:t>
                  </w:r>
                  <w:r w:rsidRPr="009100CC">
                    <w:rPr>
                      <w:rStyle w:val="Hyperlnk"/>
                      <w:color w:val="000000" w:themeColor="text1"/>
                      <w:u w:val="none"/>
                    </w:rPr>
                    <w:t>00</w:t>
                  </w:r>
                  <w:r w:rsidRPr="00BA24C1">
                    <w:rPr>
                      <w:rStyle w:val="Hyperlnk"/>
                      <w:color w:val="000000" w:themeColor="text1"/>
                      <w:u w:val="none"/>
                    </w:rPr>
                    <w:t>:-</w:t>
                  </w:r>
                  <w:proofErr w:type="gramEnd"/>
                </w:p>
              </w:tc>
            </w:tr>
            <w:tr w:rsidR="007A760B" w14:paraId="03986F20" w14:textId="77777777" w:rsidTr="007A760B">
              <w:trPr>
                <w:trHeight w:val="435"/>
              </w:trPr>
              <w:tc>
                <w:tcPr>
                  <w:tcW w:w="1411" w:type="dxa"/>
                </w:tcPr>
                <w:p w14:paraId="3ECA0F9F" w14:textId="77777777" w:rsidR="007A760B" w:rsidRDefault="007A760B" w:rsidP="007A760B">
                  <w:pPr>
                    <w:autoSpaceDE w:val="0"/>
                    <w:autoSpaceDN w:val="0"/>
                    <w:adjustRightInd w:val="0"/>
                  </w:pPr>
                  <w:proofErr w:type="gramStart"/>
                  <w:r>
                    <w:t>1-4531</w:t>
                  </w:r>
                  <w:proofErr w:type="gramEnd"/>
                </w:p>
              </w:tc>
              <w:tc>
                <w:tcPr>
                  <w:tcW w:w="6694" w:type="dxa"/>
                </w:tcPr>
                <w:p w14:paraId="68C60DDE" w14:textId="77777777" w:rsidR="007A760B" w:rsidRPr="006513D7" w:rsidRDefault="007A760B" w:rsidP="007A760B">
                  <w:pPr>
                    <w:autoSpaceDE w:val="0"/>
                    <w:autoSpaceDN w:val="0"/>
                    <w:adjustRightInd w:val="0"/>
                  </w:pPr>
                  <w:r w:rsidRPr="006513D7">
                    <w:t xml:space="preserve">LOOKY </w:t>
                  </w:r>
                  <w:r>
                    <w:t>ROUND 2.8</w:t>
                  </w:r>
                </w:p>
              </w:tc>
              <w:tc>
                <w:tcPr>
                  <w:tcW w:w="1180" w:type="dxa"/>
                </w:tcPr>
                <w:p w14:paraId="110EE5F4" w14:textId="77777777" w:rsidR="007A760B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</w:rPr>
                  </w:pPr>
                  <w:r>
                    <w:rPr>
                      <w:rStyle w:val="Hyperlnk"/>
                      <w:color w:val="000000" w:themeColor="text1"/>
                      <w:u w:val="none"/>
                    </w:rPr>
                    <w:t xml:space="preserve">2 </w:t>
                  </w:r>
                  <w:proofErr w:type="gramStart"/>
                  <w:r>
                    <w:rPr>
                      <w:rStyle w:val="Hyperlnk"/>
                      <w:color w:val="000000" w:themeColor="text1"/>
                      <w:u w:val="none"/>
                    </w:rPr>
                    <w:t>5</w:t>
                  </w:r>
                  <w:r w:rsidRPr="009100CC">
                    <w:rPr>
                      <w:rStyle w:val="Hyperlnk"/>
                      <w:color w:val="000000" w:themeColor="text1"/>
                      <w:u w:val="none"/>
                    </w:rPr>
                    <w:t>00</w:t>
                  </w:r>
                  <w:r w:rsidRPr="00BA24C1">
                    <w:rPr>
                      <w:rStyle w:val="Hyperlnk"/>
                      <w:color w:val="000000" w:themeColor="text1"/>
                      <w:u w:val="none"/>
                    </w:rPr>
                    <w:t>:-</w:t>
                  </w:r>
                  <w:proofErr w:type="gramEnd"/>
                </w:p>
              </w:tc>
            </w:tr>
          </w:tbl>
          <w:p w14:paraId="4A8392DE" w14:textId="37DC1BE8" w:rsidR="00026588" w:rsidRPr="00026588" w:rsidRDefault="00AB30CE" w:rsidP="00026588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3B81">
              <w:rPr>
                <w:rFonts w:asciiTheme="minorHAnsi" w:hAnsiTheme="minorHAnsi" w:cstheme="minorHAnsi"/>
                <w:sz w:val="22"/>
                <w:szCs w:val="22"/>
              </w:rPr>
              <w:t>Laddning via USB-C</w:t>
            </w:r>
          </w:p>
        </w:tc>
      </w:tr>
    </w:tbl>
    <w:p w14:paraId="225684DC" w14:textId="45C72A22" w:rsidR="009E4561" w:rsidRDefault="009E4561" w:rsidP="00026588">
      <w:pPr>
        <w:autoSpaceDE w:val="0"/>
        <w:autoSpaceDN w:val="0"/>
        <w:adjustRightInd w:val="0"/>
        <w:rPr>
          <w:rStyle w:val="Hyperlnk"/>
          <w:lang w:eastAsia="en-US"/>
        </w:rPr>
      </w:pPr>
    </w:p>
    <w:sectPr w:rsidR="009E4561" w:rsidSect="005A5842">
      <w:headerReference w:type="default" r:id="rId11"/>
      <w:foot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6762" w14:textId="77777777" w:rsidR="00D47F72" w:rsidRDefault="00D47F72" w:rsidP="005A5842">
      <w:r>
        <w:separator/>
      </w:r>
    </w:p>
  </w:endnote>
  <w:endnote w:type="continuationSeparator" w:id="0">
    <w:p w14:paraId="6D24B77D" w14:textId="77777777" w:rsidR="00D47F72" w:rsidRDefault="00D47F72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13CDFF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A5D9" w14:textId="77777777" w:rsidR="00D47F72" w:rsidRDefault="00D47F72" w:rsidP="005A5842">
      <w:r>
        <w:separator/>
      </w:r>
    </w:p>
  </w:footnote>
  <w:footnote w:type="continuationSeparator" w:id="0">
    <w:p w14:paraId="48071E71" w14:textId="77777777" w:rsidR="00D47F72" w:rsidRDefault="00D47F72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7EA"/>
    <w:multiLevelType w:val="hybridMultilevel"/>
    <w:tmpl w:val="3B78B6F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6588"/>
    <w:multiLevelType w:val="multilevel"/>
    <w:tmpl w:val="C81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25985"/>
    <w:multiLevelType w:val="hybridMultilevel"/>
    <w:tmpl w:val="FB70A5EE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193626"/>
    <w:multiLevelType w:val="hybridMultilevel"/>
    <w:tmpl w:val="84E0FE1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284B3B"/>
    <w:multiLevelType w:val="hybridMultilevel"/>
    <w:tmpl w:val="AEB835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C843C5"/>
    <w:multiLevelType w:val="hybridMultilevel"/>
    <w:tmpl w:val="404288C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5"/>
  </w:num>
  <w:num w:numId="2" w16cid:durableId="1265262470">
    <w:abstractNumId w:val="4"/>
  </w:num>
  <w:num w:numId="3" w16cid:durableId="1790007904">
    <w:abstractNumId w:val="3"/>
  </w:num>
  <w:num w:numId="4" w16cid:durableId="829101249">
    <w:abstractNumId w:val="1"/>
  </w:num>
  <w:num w:numId="5" w16cid:durableId="27537448">
    <w:abstractNumId w:val="0"/>
  </w:num>
  <w:num w:numId="6" w16cid:durableId="710959146">
    <w:abstractNumId w:val="6"/>
  </w:num>
  <w:num w:numId="7" w16cid:durableId="657659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0538F"/>
    <w:rsid w:val="00016383"/>
    <w:rsid w:val="00021457"/>
    <w:rsid w:val="00026588"/>
    <w:rsid w:val="000365B0"/>
    <w:rsid w:val="00056B9C"/>
    <w:rsid w:val="0006235F"/>
    <w:rsid w:val="000D0371"/>
    <w:rsid w:val="000D73C6"/>
    <w:rsid w:val="000E3E72"/>
    <w:rsid w:val="000F1782"/>
    <w:rsid w:val="00115BCD"/>
    <w:rsid w:val="00133B81"/>
    <w:rsid w:val="001834C1"/>
    <w:rsid w:val="00192EFC"/>
    <w:rsid w:val="001B07AC"/>
    <w:rsid w:val="002108DE"/>
    <w:rsid w:val="0026106D"/>
    <w:rsid w:val="00266A82"/>
    <w:rsid w:val="00272624"/>
    <w:rsid w:val="002A2AC6"/>
    <w:rsid w:val="002B659D"/>
    <w:rsid w:val="002D2A47"/>
    <w:rsid w:val="002D4EAA"/>
    <w:rsid w:val="002E08E6"/>
    <w:rsid w:val="003125AD"/>
    <w:rsid w:val="00322E2B"/>
    <w:rsid w:val="00324E11"/>
    <w:rsid w:val="00366373"/>
    <w:rsid w:val="0039042F"/>
    <w:rsid w:val="003B69B0"/>
    <w:rsid w:val="003D1EA1"/>
    <w:rsid w:val="003F612F"/>
    <w:rsid w:val="00440DC8"/>
    <w:rsid w:val="00456321"/>
    <w:rsid w:val="004652DA"/>
    <w:rsid w:val="004721A9"/>
    <w:rsid w:val="00472FC4"/>
    <w:rsid w:val="004A728F"/>
    <w:rsid w:val="004C0159"/>
    <w:rsid w:val="004C34E5"/>
    <w:rsid w:val="00502BC0"/>
    <w:rsid w:val="005068B9"/>
    <w:rsid w:val="00516DE4"/>
    <w:rsid w:val="00525939"/>
    <w:rsid w:val="0054338D"/>
    <w:rsid w:val="005504E9"/>
    <w:rsid w:val="005A140C"/>
    <w:rsid w:val="005A5842"/>
    <w:rsid w:val="005E7FEE"/>
    <w:rsid w:val="005F30D3"/>
    <w:rsid w:val="005F62C4"/>
    <w:rsid w:val="0064350B"/>
    <w:rsid w:val="006513D7"/>
    <w:rsid w:val="006670E7"/>
    <w:rsid w:val="00683555"/>
    <w:rsid w:val="006E12C2"/>
    <w:rsid w:val="00711ACF"/>
    <w:rsid w:val="00723B13"/>
    <w:rsid w:val="007304DE"/>
    <w:rsid w:val="00731745"/>
    <w:rsid w:val="00734127"/>
    <w:rsid w:val="00756777"/>
    <w:rsid w:val="0079563B"/>
    <w:rsid w:val="007A760B"/>
    <w:rsid w:val="007D09D3"/>
    <w:rsid w:val="00806938"/>
    <w:rsid w:val="00833C40"/>
    <w:rsid w:val="00835DA0"/>
    <w:rsid w:val="00836162"/>
    <w:rsid w:val="008416EF"/>
    <w:rsid w:val="00846959"/>
    <w:rsid w:val="00850A76"/>
    <w:rsid w:val="008530A6"/>
    <w:rsid w:val="00854125"/>
    <w:rsid w:val="008664B2"/>
    <w:rsid w:val="00896731"/>
    <w:rsid w:val="008C4502"/>
    <w:rsid w:val="008C6DF7"/>
    <w:rsid w:val="008E0AF3"/>
    <w:rsid w:val="009100CC"/>
    <w:rsid w:val="009265B5"/>
    <w:rsid w:val="00933CBA"/>
    <w:rsid w:val="00982EDB"/>
    <w:rsid w:val="00985C9A"/>
    <w:rsid w:val="00992163"/>
    <w:rsid w:val="009A7369"/>
    <w:rsid w:val="009C4F0A"/>
    <w:rsid w:val="009C6B64"/>
    <w:rsid w:val="009D021D"/>
    <w:rsid w:val="009D27F3"/>
    <w:rsid w:val="009E4561"/>
    <w:rsid w:val="00A06983"/>
    <w:rsid w:val="00A15BF6"/>
    <w:rsid w:val="00A46AD7"/>
    <w:rsid w:val="00A62831"/>
    <w:rsid w:val="00AB30CE"/>
    <w:rsid w:val="00AF19C0"/>
    <w:rsid w:val="00B1226E"/>
    <w:rsid w:val="00B143CC"/>
    <w:rsid w:val="00B344C3"/>
    <w:rsid w:val="00B570EE"/>
    <w:rsid w:val="00B62BB8"/>
    <w:rsid w:val="00B87EED"/>
    <w:rsid w:val="00B939CE"/>
    <w:rsid w:val="00BA24C1"/>
    <w:rsid w:val="00BD0F34"/>
    <w:rsid w:val="00BD2A98"/>
    <w:rsid w:val="00BF2C39"/>
    <w:rsid w:val="00C2576F"/>
    <w:rsid w:val="00C328C4"/>
    <w:rsid w:val="00C5661B"/>
    <w:rsid w:val="00CA07DD"/>
    <w:rsid w:val="00CC3FF1"/>
    <w:rsid w:val="00D47F72"/>
    <w:rsid w:val="00D8578D"/>
    <w:rsid w:val="00DD6A33"/>
    <w:rsid w:val="00DE1BED"/>
    <w:rsid w:val="00DE294C"/>
    <w:rsid w:val="00E01A8D"/>
    <w:rsid w:val="00E12255"/>
    <w:rsid w:val="00E318C2"/>
    <w:rsid w:val="00E62AD7"/>
    <w:rsid w:val="00EA3B97"/>
    <w:rsid w:val="00EB27FB"/>
    <w:rsid w:val="00EB758C"/>
    <w:rsid w:val="00F03CFD"/>
    <w:rsid w:val="00F11A74"/>
    <w:rsid w:val="00F66F7A"/>
    <w:rsid w:val="00FB59C6"/>
    <w:rsid w:val="00FF454A"/>
    <w:rsid w:val="00FF686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2576F"/>
    <w:pPr>
      <w:spacing w:after="0" w:line="240" w:lineRule="auto"/>
    </w:pPr>
    <w:rPr>
      <w:kern w:val="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EE2EA-B873-45C6-85D5-02F40121ADFF}">
  <ds:schemaRefs>
    <ds:schemaRef ds:uri="af8e6c75-5adc-4d44-b38a-49ac4fa4bc69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0648062-1961-4c94-aadb-e63efa5a437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12</cp:revision>
  <cp:lastPrinted>2025-08-22T08:25:00Z</cp:lastPrinted>
  <dcterms:created xsi:type="dcterms:W3CDTF">2025-08-22T08:28:00Z</dcterms:created>
  <dcterms:modified xsi:type="dcterms:W3CDTF">2025-08-22T08:40:00Z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